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6665A" w14:textId="77777777" w:rsidR="004820EA" w:rsidRDefault="004820EA" w:rsidP="00FB6286">
      <w:pPr>
        <w:spacing w:after="100" w:afterAutospacing="1" w:line="240" w:lineRule="auto"/>
        <w:outlineLvl w:val="0"/>
        <w:rPr>
          <w:rFonts w:ascii="Poppins" w:eastAsia="Times New Roman" w:hAnsi="Poppins" w:cs="Poppins"/>
          <w:b/>
          <w:bCs/>
          <w:kern w:val="36"/>
          <w:sz w:val="48"/>
          <w:szCs w:val="48"/>
          <w:lang w:eastAsia="es-ES"/>
          <w14:ligatures w14:val="none"/>
        </w:rPr>
      </w:pPr>
      <w:bookmarkStart w:id="0" w:name="_GoBack"/>
      <w:bookmarkEnd w:id="0"/>
    </w:p>
    <w:p w14:paraId="35E9E2FD" w14:textId="041BCCA4" w:rsidR="00FB6286" w:rsidRPr="004820EA" w:rsidRDefault="00FB6286" w:rsidP="00FB628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  <w14:ligatures w14:val="none"/>
        </w:rPr>
      </w:pPr>
      <w:r w:rsidRPr="004820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  <w14:ligatures w14:val="none"/>
        </w:rPr>
        <w:t>Política de cookies</w:t>
      </w:r>
    </w:p>
    <w:p w14:paraId="5B2D3948" w14:textId="77777777" w:rsidR="004820EA" w:rsidRPr="004820EA" w:rsidRDefault="004820EA" w:rsidP="00FB628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  <w14:ligatures w14:val="none"/>
        </w:rPr>
      </w:pPr>
    </w:p>
    <w:p w14:paraId="3682A254" w14:textId="3950894E" w:rsidR="001F6DCC" w:rsidRPr="004820EA" w:rsidRDefault="001F6DCC" w:rsidP="00FB6286">
      <w:pPr>
        <w:shd w:val="clear" w:color="auto" w:fill="FFFFFF"/>
        <w:spacing w:after="100" w:afterAutospacing="1" w:line="432" w:lineRule="atLeast"/>
        <w:jc w:val="both"/>
        <w:outlineLvl w:val="3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Nuestra política de cookies describe como recogemos, guardamos o utilizamos la información que recabamos a través de los diferentes servicios o páginas disponibles en este sitio. Es importante que entienda qué información recogemos y cómo la utilizamos</w:t>
      </w:r>
      <w:r w:rsidR="0071478F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,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ya que el acceso a este sitio implica la aceptación nuestra política de cookies.</w:t>
      </w:r>
    </w:p>
    <w:p w14:paraId="2FFB1A97" w14:textId="33C2C200" w:rsidR="00AD5BAC" w:rsidRPr="004820EA" w:rsidRDefault="00FB6286" w:rsidP="00FB6286">
      <w:pPr>
        <w:shd w:val="clear" w:color="auto" w:fill="FFFFFF"/>
        <w:spacing w:after="100" w:afterAutospacing="1" w:line="432" w:lineRule="atLeast"/>
        <w:jc w:val="both"/>
        <w:outlineLvl w:val="3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SENASA informa que</w:t>
      </w:r>
      <w:r w:rsidR="00AD5BAC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necesita el uso de cookies para garantizar el correcto funcionamiento de </w:t>
      </w:r>
      <w:r w:rsidR="00AD5BAC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ciertas aplicaciones de su web, </w:t>
      </w:r>
      <w:r w:rsidR="0071478F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lo cual se hace expresamente saber</w:t>
      </w:r>
      <w:r w:rsidR="00AD5BAC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a los efectos de lo dispuesto en el artículo 22.2 párrafo tercero de la Ley 34/2002, de 11 de julio, de servicios de la sociedad de la información y de comercio electrónico.</w:t>
      </w:r>
    </w:p>
    <w:p w14:paraId="22767288" w14:textId="1E52D6F2" w:rsidR="00FB6286" w:rsidRPr="004820EA" w:rsidRDefault="006A020F" w:rsidP="00FB6286">
      <w:pPr>
        <w:shd w:val="clear" w:color="auto" w:fill="FFFFFF"/>
        <w:spacing w:after="100" w:afterAutospacing="1" w:line="360" w:lineRule="auto"/>
        <w:jc w:val="both"/>
        <w:outlineLvl w:val="3"/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>¿</w:t>
      </w:r>
      <w:r w:rsidR="00FB6286" w:rsidRPr="004820EA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 xml:space="preserve">Qué </w:t>
      </w:r>
      <w:r w:rsidRPr="004820EA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>es una</w:t>
      </w:r>
      <w:r w:rsidR="00FB6286" w:rsidRPr="004820EA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 xml:space="preserve"> cookie</w:t>
      </w:r>
      <w:r w:rsidRPr="004820EA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>?</w:t>
      </w:r>
    </w:p>
    <w:p w14:paraId="35147FEF" w14:textId="77777777" w:rsidR="00FB6286" w:rsidRPr="004820EA" w:rsidRDefault="00FB6286" w:rsidP="00FB628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Las cookies son pequeños archivos de texto que contienen información y que se descargan en el dispositivo de cualquier usuario que visita una página web. Tras su instalación, las cookies pueden ser devueltas a la página web de origen (cookies de origen) o a otras páginas web (cookies de terceros).</w:t>
      </w:r>
    </w:p>
    <w:p w14:paraId="0227DE07" w14:textId="77777777" w:rsidR="006A020F" w:rsidRPr="004820EA" w:rsidRDefault="006A020F" w:rsidP="006A020F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>¿Para qué sirve una cookie?</w:t>
      </w:r>
    </w:p>
    <w:p w14:paraId="6E7CB3F6" w14:textId="77777777" w:rsidR="00FB6286" w:rsidRPr="004820EA" w:rsidRDefault="00FB6286" w:rsidP="00FB628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Las cookies permiten que una página web reconozca el dispositivo de un usuario, facilitando su navegación, recordando sus preferencias y, en general, mejorando la experiencia del usuario, ayudándole a ofrecerle información y servicios relacionados con sus intereses. </w:t>
      </w:r>
    </w:p>
    <w:p w14:paraId="080C1E94" w14:textId="48207613" w:rsidR="00FB6286" w:rsidRDefault="00FB6286" w:rsidP="00FB628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La ley vigente permite que almacenemos cookies en su dispositivo, si </w:t>
      </w:r>
      <w:r w:rsidR="00AD5BAC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é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stas son estrictamente necesarias para el funcionamiento de esta página. Así, para todos los demás tipos de cookies necesitamos su permiso.</w:t>
      </w:r>
    </w:p>
    <w:p w14:paraId="7E7B6A2A" w14:textId="77777777" w:rsidR="004820EA" w:rsidRPr="004820EA" w:rsidRDefault="004820EA" w:rsidP="00FB628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</w:p>
    <w:p w14:paraId="53D2EDAE" w14:textId="5D7CD683" w:rsidR="00FB6286" w:rsidRPr="004820EA" w:rsidRDefault="00FB6286" w:rsidP="00FB628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>Tipos de cookies</w:t>
      </w:r>
    </w:p>
    <w:p w14:paraId="76AE1506" w14:textId="14780C3D" w:rsidR="005C44BA" w:rsidRPr="004820EA" w:rsidRDefault="00684015" w:rsidP="005C44BA">
      <w:pPr>
        <w:pStyle w:val="Prrafodelista"/>
        <w:numPr>
          <w:ilvl w:val="0"/>
          <w:numId w:val="10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lastRenderedPageBreak/>
        <w:t>Según quién las gestiona, pueden ser p</w:t>
      </w:r>
      <w:r w:rsidR="006A020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ropias o de terceros. </w:t>
      </w:r>
    </w:p>
    <w:p w14:paraId="4110D0CA" w14:textId="06E47BD3" w:rsidR="00FB6286" w:rsidRPr="004820EA" w:rsidRDefault="00FB6286" w:rsidP="005C44BA">
      <w:pPr>
        <w:pStyle w:val="Prrafodelista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Informamos a nuestros usuarios que </w:t>
      </w:r>
      <w:r w:rsidR="00AD5BAC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SENASA</w:t>
      </w:r>
      <w:r w:rsidR="001F6DCC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utiliza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únicamente cookies propias, no de terceros</w:t>
      </w:r>
      <w:r w:rsidR="005C44BA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, y cuya misión es estrictamente funcional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.</w:t>
      </w:r>
    </w:p>
    <w:p w14:paraId="6D26A891" w14:textId="7740011D" w:rsidR="001D0841" w:rsidRPr="004820EA" w:rsidRDefault="001F6DCC" w:rsidP="005267BC">
      <w:pPr>
        <w:shd w:val="clear" w:color="auto" w:fill="FFFFFF"/>
        <w:spacing w:after="100" w:afterAutospacing="1" w:line="360" w:lineRule="auto"/>
        <w:ind w:left="708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En este sentido</w:t>
      </w:r>
      <w:r w:rsidR="001D0841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, los canales corporativos con que cuenta SENASA en redes sociales y que también aparecen en nuestra página web como enlace a estos terceros (Facebook, X y LinkedIn), no son cookies </w:t>
      </w:r>
      <w:r w:rsidR="005267BC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propias</w:t>
      </w:r>
      <w:r w:rsidR="001D0841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sino de terceros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, ni SENASA ostenta algún tipo de responsabilidad o titularidad al respecto.</w:t>
      </w:r>
    </w:p>
    <w:p w14:paraId="6F50B815" w14:textId="7592BDA5" w:rsidR="003878E8" w:rsidRPr="004820EA" w:rsidRDefault="00FB6286" w:rsidP="006A020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Según el plazo de tiempo que permanecen almacenadas en el navegador del cliente, pueden ser</w:t>
      </w:r>
      <w:r w:rsidR="00684015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cookies de sesión o cookies permanentes</w:t>
      </w:r>
      <w:r w:rsidR="003878E8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: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</w:t>
      </w:r>
    </w:p>
    <w:p w14:paraId="1EA4A1A6" w14:textId="277620E9" w:rsidR="001F6DCC" w:rsidRPr="004820EA" w:rsidRDefault="00684015" w:rsidP="00CF5A6F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En SENASA únicamente usamos </w:t>
      </w:r>
      <w:r w:rsidR="00FB6286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cookies 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persistentes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: 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son pequeños archivos de texto que el sitio web envía al navegador del usuario y se almacenan en el disco duro de su dispositivo. Estos archivos contienen datos específicos sobre la navegación del usuario, como preferencias de idioma, detalles de inicio de sesión y otras personalizaciones que hacen que la experiencia en el sitio web sea más conveniente y personalizada. Los datos siguen almacenados en el terminal y pueden ser accedidos y tratados durante un periodo definido por el responsable de la cookie.</w:t>
      </w:r>
    </w:p>
    <w:p w14:paraId="472A68E5" w14:textId="77777777" w:rsidR="005C44BA" w:rsidRPr="004820EA" w:rsidRDefault="005C44BA" w:rsidP="005C44BA">
      <w:pPr>
        <w:pStyle w:val="Prrafodelista"/>
        <w:spacing w:before="100" w:beforeAutospacing="1" w:after="100" w:afterAutospacing="1" w:line="360" w:lineRule="auto"/>
        <w:ind w:left="1080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</w:p>
    <w:p w14:paraId="3D26A8EE" w14:textId="11A48A29" w:rsidR="00FB6286" w:rsidRPr="004820EA" w:rsidRDefault="00FB6286" w:rsidP="005267BC">
      <w:pPr>
        <w:pStyle w:val="Prrafodelista"/>
        <w:numPr>
          <w:ilvl w:val="0"/>
          <w:numId w:val="10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Según la finalidad que tengan los datos obtenidos, pueden ser cookies </w:t>
      </w:r>
      <w:r w:rsidR="00684015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técnicas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(o necesarias)</w:t>
      </w:r>
      <w:r w:rsidR="00684015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, 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de análisis</w:t>
      </w:r>
      <w:r w:rsidR="00684015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, de personalización y publicitarias.</w:t>
      </w:r>
    </w:p>
    <w:p w14:paraId="0F2B7A3F" w14:textId="4374654C" w:rsidR="00FB6286" w:rsidRPr="004820EA" w:rsidRDefault="00BF0B31" w:rsidP="00BF0B31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En SENASA únicamente usamos cookies técnicas o necesarias </w:t>
      </w:r>
      <w:r w:rsidR="00FB6286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para la correcta funcionalidad del sitio web.</w:t>
      </w:r>
    </w:p>
    <w:p w14:paraId="59914990" w14:textId="4504C36D" w:rsidR="005C44BA" w:rsidRPr="004820EA" w:rsidRDefault="005C44BA" w:rsidP="004820EA">
      <w:pPr>
        <w:shd w:val="clear" w:color="auto" w:fill="FFFFFF"/>
        <w:spacing w:after="100" w:afterAutospacing="1" w:line="360" w:lineRule="auto"/>
        <w:jc w:val="both"/>
        <w:outlineLvl w:val="3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Por ello, las cookies empleadas por SENASA no requieren el consentimiento informado del usuario</w:t>
      </w:r>
      <w:r w:rsidR="004820EA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sometido a preferencias o rechazo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,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pero sí su conocimiento a través de la publicación de esta política</w:t>
      </w:r>
      <w:r w:rsidR="004820EA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y la necesidad de aceptarlas de querer continuar al tratarse de cookies necesarias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. Para mayor información 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sobre quiénes somos, cómo puede contactarnos y cómo tratamos sus datos personales, puede consultar aquí nuestra </w:t>
      </w:r>
      <w:r w:rsidR="00CF5A6F" w:rsidRPr="00931E59">
        <w:rPr>
          <w:rFonts w:ascii="Times New Roman" w:hAnsi="Times New Roman" w:cs="Times New Roman"/>
          <w:b/>
          <w:bCs/>
          <w:color w:val="303555"/>
          <w:sz w:val="24"/>
          <w:szCs w:val="24"/>
          <w:shd w:val="clear" w:color="auto" w:fill="FFFFFF"/>
        </w:rPr>
        <w:t>Política de Privacidad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.</w:t>
      </w:r>
    </w:p>
    <w:p w14:paraId="5B523A81" w14:textId="77777777" w:rsidR="004820EA" w:rsidRPr="004820EA" w:rsidRDefault="004820EA" w:rsidP="004820EA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SENASA se reserva el derecho a modificar la presente Política de Cookies, siempre en los términos permitidos por la legislación española vigente y previa comunicación a los interesados, bien mediante publicación en esta página o por cualquier otro medio de comunicación o difusión que se considere oportuno.</w:t>
      </w:r>
    </w:p>
    <w:p w14:paraId="0C5606DE" w14:textId="77777777" w:rsidR="004820EA" w:rsidRPr="004820EA" w:rsidRDefault="004820EA" w:rsidP="00FB6286">
      <w:pPr>
        <w:shd w:val="clear" w:color="auto" w:fill="FFFFFF"/>
        <w:spacing w:after="100" w:afterAutospacing="1" w:line="360" w:lineRule="auto"/>
        <w:jc w:val="both"/>
        <w:outlineLvl w:val="3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</w:p>
    <w:p w14:paraId="638C2340" w14:textId="34CD8291" w:rsidR="00FB6286" w:rsidRPr="004820EA" w:rsidRDefault="00FB6286" w:rsidP="006D7183">
      <w:pPr>
        <w:shd w:val="clear" w:color="auto" w:fill="FFFFFF"/>
        <w:spacing w:after="100" w:afterAutospacing="1" w:line="360" w:lineRule="auto"/>
        <w:jc w:val="center"/>
        <w:outlineLvl w:val="3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Lista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do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 xml:space="preserve"> de Cookies 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técnicas o necesarias u</w:t>
      </w:r>
      <w:r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tilizadas</w:t>
      </w:r>
      <w:r w:rsidR="00CF5A6F" w:rsidRPr="004820EA"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  <w:t>:</w:t>
      </w:r>
    </w:p>
    <w:p w14:paraId="4CC11415" w14:textId="4B16B869" w:rsidR="00CF5A6F" w:rsidRPr="004820EA" w:rsidRDefault="00CF5A6F" w:rsidP="00CF5A6F">
      <w:pPr>
        <w:shd w:val="clear" w:color="auto" w:fill="FFFFFF"/>
        <w:spacing w:after="100" w:afterAutospacing="1" w:line="360" w:lineRule="auto"/>
        <w:jc w:val="center"/>
        <w:outlineLvl w:val="3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  <w:r w:rsidRPr="004820EA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9A115BA" wp14:editId="426B648A">
            <wp:extent cx="3181350" cy="1247775"/>
            <wp:effectExtent l="133350" t="114300" r="133350" b="161925"/>
            <wp:docPr id="1" name="Imagen 1" descr="Tex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247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D1F85D" w14:textId="77777777" w:rsidR="00CF5A6F" w:rsidRPr="004820EA" w:rsidRDefault="00CF5A6F" w:rsidP="00CF5A6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303555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6184"/>
      </w:tblGrid>
      <w:tr w:rsidR="00CF5A6F" w:rsidRPr="004820EA" w14:paraId="2110B5C5" w14:textId="77777777" w:rsidTr="00CF5A6F">
        <w:trPr>
          <w:jc w:val="center"/>
        </w:trPr>
        <w:tc>
          <w:tcPr>
            <w:tcW w:w="2122" w:type="dxa"/>
            <w:shd w:val="clear" w:color="auto" w:fill="0F4761" w:themeFill="accent1" w:themeFillShade="BF"/>
          </w:tcPr>
          <w:p w14:paraId="1D39BA2B" w14:textId="77777777" w:rsidR="00CF5A6F" w:rsidRPr="004820EA" w:rsidRDefault="00CF5A6F" w:rsidP="009F3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Nombre cookie</w:t>
            </w:r>
          </w:p>
        </w:tc>
        <w:tc>
          <w:tcPr>
            <w:tcW w:w="6372" w:type="dxa"/>
            <w:shd w:val="clear" w:color="auto" w:fill="0F4761" w:themeFill="accent1" w:themeFillShade="BF"/>
          </w:tcPr>
          <w:p w14:paraId="4AA7C3D6" w14:textId="77777777" w:rsidR="00CF5A6F" w:rsidRPr="004820EA" w:rsidRDefault="00CF5A6F" w:rsidP="009F3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Utilidad</w:t>
            </w:r>
          </w:p>
        </w:tc>
      </w:tr>
      <w:tr w:rsidR="00CF5A6F" w:rsidRPr="004820EA" w14:paraId="3C5ADDD6" w14:textId="77777777" w:rsidTr="00CF5A6F">
        <w:trPr>
          <w:jc w:val="center"/>
        </w:trPr>
        <w:tc>
          <w:tcPr>
            <w:tcW w:w="2122" w:type="dxa"/>
            <w:shd w:val="clear" w:color="auto" w:fill="83CAEB" w:themeFill="accent1" w:themeFillTint="66"/>
          </w:tcPr>
          <w:p w14:paraId="191A15EB" w14:textId="77777777" w:rsidR="00CF5A6F" w:rsidRPr="004820EA" w:rsidRDefault="00CF5A6F" w:rsidP="009F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b/>
                <w:sz w:val="24"/>
                <w:szCs w:val="24"/>
              </w:rPr>
              <w:t>ACEPTA_COOKIE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18C79990" w14:textId="77777777" w:rsidR="00CF5A6F" w:rsidRPr="004820EA" w:rsidRDefault="00CF5A6F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sz w:val="24"/>
                <w:szCs w:val="24"/>
              </w:rPr>
              <w:t>Nos dirá si el usuario ha aceptado o no las cookies, dependiendo de su valor o existencia, mostraremos el aviso de uso de cookies y dejaremos o no continuar con la aplicación.</w:t>
            </w:r>
          </w:p>
        </w:tc>
      </w:tr>
      <w:tr w:rsidR="00CF5A6F" w:rsidRPr="004820EA" w14:paraId="211BBE63" w14:textId="77777777" w:rsidTr="00CF5A6F">
        <w:trPr>
          <w:jc w:val="center"/>
        </w:trPr>
        <w:tc>
          <w:tcPr>
            <w:tcW w:w="2122" w:type="dxa"/>
            <w:shd w:val="clear" w:color="auto" w:fill="83CAEB" w:themeFill="accent1" w:themeFillTint="66"/>
          </w:tcPr>
          <w:p w14:paraId="04FD413F" w14:textId="7BEA0268" w:rsidR="00CF5A6F" w:rsidRPr="004820EA" w:rsidRDefault="004820EA" w:rsidP="009F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F5A6F" w:rsidRPr="004820E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02BCD3F3" w14:textId="77777777" w:rsidR="00CF5A6F" w:rsidRPr="004820EA" w:rsidRDefault="00CF5A6F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sz w:val="24"/>
                <w:szCs w:val="24"/>
              </w:rPr>
              <w:t>Almacena la preferencia de idioma por parte del usuario.</w:t>
            </w:r>
          </w:p>
        </w:tc>
      </w:tr>
      <w:tr w:rsidR="00CF5A6F" w:rsidRPr="004820EA" w14:paraId="4F9DB26E" w14:textId="77777777" w:rsidTr="00CF5A6F">
        <w:trPr>
          <w:jc w:val="center"/>
        </w:trPr>
        <w:tc>
          <w:tcPr>
            <w:tcW w:w="2122" w:type="dxa"/>
            <w:shd w:val="clear" w:color="auto" w:fill="83CAEB" w:themeFill="accent1" w:themeFillTint="66"/>
          </w:tcPr>
          <w:p w14:paraId="40639CC8" w14:textId="77777777" w:rsidR="00CF5A6F" w:rsidRPr="004820EA" w:rsidRDefault="00CF5A6F" w:rsidP="009F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b/>
                <w:sz w:val="24"/>
                <w:szCs w:val="24"/>
              </w:rPr>
              <w:t>PHPSESSSID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488273B5" w14:textId="77777777" w:rsidR="00CF5A6F" w:rsidRPr="004820EA" w:rsidRDefault="00CF5A6F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sz w:val="24"/>
                <w:szCs w:val="24"/>
              </w:rPr>
              <w:t>Almacena un identificador de sesión.</w:t>
            </w:r>
          </w:p>
        </w:tc>
      </w:tr>
      <w:tr w:rsidR="00CF5A6F" w:rsidRPr="004820EA" w14:paraId="10A98840" w14:textId="77777777" w:rsidTr="00CF5A6F">
        <w:trPr>
          <w:jc w:val="center"/>
        </w:trPr>
        <w:tc>
          <w:tcPr>
            <w:tcW w:w="2122" w:type="dxa"/>
            <w:shd w:val="clear" w:color="auto" w:fill="83CAEB" w:themeFill="accent1" w:themeFillTint="66"/>
          </w:tcPr>
          <w:p w14:paraId="6FD31155" w14:textId="77777777" w:rsidR="00CF5A6F" w:rsidRPr="004820EA" w:rsidRDefault="00CF5A6F" w:rsidP="009F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b/>
                <w:sz w:val="24"/>
                <w:szCs w:val="24"/>
              </w:rPr>
              <w:t>TRA6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0F4CCEE3" w14:textId="77777777" w:rsidR="00CF5A6F" w:rsidRPr="004820EA" w:rsidRDefault="00CF5A6F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EA">
              <w:rPr>
                <w:rFonts w:ascii="Times New Roman" w:hAnsi="Times New Roman" w:cs="Times New Roman"/>
                <w:sz w:val="24"/>
                <w:szCs w:val="24"/>
              </w:rPr>
              <w:t xml:space="preserve">Almacena un identificador de sesión </w:t>
            </w:r>
            <w:r w:rsidRPr="00931E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login</w:t>
            </w:r>
          </w:p>
        </w:tc>
      </w:tr>
    </w:tbl>
    <w:p w14:paraId="0E5DAB99" w14:textId="77777777" w:rsidR="004820EA" w:rsidRDefault="004820EA" w:rsidP="004820EA">
      <w:pPr>
        <w:rPr>
          <w:rFonts w:ascii="Times New Roman" w:hAnsi="Times New Roman" w:cs="Times New Roman"/>
          <w:sz w:val="24"/>
          <w:szCs w:val="24"/>
        </w:rPr>
      </w:pPr>
    </w:p>
    <w:p w14:paraId="547AEAB2" w14:textId="77777777" w:rsidR="00931E59" w:rsidRDefault="00931E59" w:rsidP="004820EA">
      <w:pPr>
        <w:rPr>
          <w:rFonts w:ascii="Times New Roman" w:hAnsi="Times New Roman" w:cs="Times New Roman"/>
          <w:sz w:val="24"/>
          <w:szCs w:val="24"/>
        </w:rPr>
      </w:pPr>
    </w:p>
    <w:p w14:paraId="010DBE3F" w14:textId="2E308BE7" w:rsidR="00931E59" w:rsidRDefault="00931E59" w:rsidP="004820E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05EFE27" wp14:editId="37756856">
            <wp:extent cx="5346700" cy="1676400"/>
            <wp:effectExtent l="0" t="0" r="6350" b="0"/>
            <wp:docPr id="159901414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2F69" w14:textId="77777777" w:rsidR="00931E59" w:rsidRDefault="00931E59" w:rsidP="004820EA">
      <w:pPr>
        <w:rPr>
          <w:rFonts w:ascii="Times New Roman" w:hAnsi="Times New Roman" w:cs="Times New Roman"/>
          <w:sz w:val="24"/>
          <w:szCs w:val="24"/>
        </w:rPr>
      </w:pPr>
    </w:p>
    <w:p w14:paraId="5E945167" w14:textId="77777777" w:rsidR="00931E59" w:rsidRDefault="00931E59" w:rsidP="00931E59">
      <w:pPr>
        <w:pStyle w:val="NormalWeb"/>
        <w:spacing w:after="120" w:afterAutospacing="0"/>
        <w:jc w:val="both"/>
      </w:pPr>
    </w:p>
    <w:p w14:paraId="4E4CE1E4" w14:textId="0ED6B96D" w:rsidR="00931E59" w:rsidRDefault="00931E59" w:rsidP="00931E59">
      <w:pPr>
        <w:pStyle w:val="NormalWeb"/>
        <w:spacing w:after="120" w:afterAutospacing="0"/>
        <w:jc w:val="both"/>
      </w:pPr>
      <w:r>
        <w:t>DT_COOKIE_LANG: guarda el idioma en que se muestra la web</w:t>
      </w:r>
    </w:p>
    <w:p w14:paraId="7682D406" w14:textId="5C310895" w:rsidR="00931E59" w:rsidRDefault="00931E59" w:rsidP="00931E59">
      <w:pPr>
        <w:pStyle w:val="NormalWeb"/>
        <w:spacing w:after="120" w:afterAutospacing="0"/>
        <w:jc w:val="both"/>
      </w:pPr>
      <w:r>
        <w:t>PHPSESSID: guarda una cadena única con el identificador de sesión y necesaria para la gestión de datos en Polaris</w:t>
      </w:r>
    </w:p>
    <w:p w14:paraId="140CCF1C" w14:textId="336F3859" w:rsidR="00931E59" w:rsidRDefault="00931E59" w:rsidP="00931E59">
      <w:pPr>
        <w:pStyle w:val="NormalWeb"/>
        <w:spacing w:after="120" w:afterAutospacing="0"/>
        <w:jc w:val="both"/>
      </w:pPr>
      <w:r>
        <w:t xml:space="preserve">TRA6: guarda una cadena identificativa del </w:t>
      </w:r>
      <w:r w:rsidRPr="00931E59">
        <w:rPr>
          <w:i/>
          <w:iCs/>
        </w:rPr>
        <w:t>login</w:t>
      </w:r>
      <w:r>
        <w:t xml:space="preserve"> de usuario, pero sin contener datos personales del mismo, para el controlar el tiempo de conexión.</w:t>
      </w:r>
    </w:p>
    <w:p w14:paraId="3B002518" w14:textId="77777777" w:rsidR="00931E59" w:rsidRDefault="00931E59" w:rsidP="004820EA">
      <w:pPr>
        <w:rPr>
          <w:rFonts w:ascii="Times New Roman" w:hAnsi="Times New Roman" w:cs="Times New Roman"/>
          <w:sz w:val="24"/>
          <w:szCs w:val="24"/>
        </w:rPr>
      </w:pPr>
    </w:p>
    <w:p w14:paraId="694B9023" w14:textId="77777777" w:rsidR="00931E59" w:rsidRDefault="00931E59" w:rsidP="004820EA">
      <w:pPr>
        <w:rPr>
          <w:rFonts w:ascii="Times New Roman" w:hAnsi="Times New Roman" w:cs="Times New Roman"/>
          <w:sz w:val="24"/>
          <w:szCs w:val="24"/>
        </w:rPr>
      </w:pPr>
    </w:p>
    <w:p w14:paraId="28E8A9B3" w14:textId="77777777" w:rsidR="00931E59" w:rsidRDefault="00931E59" w:rsidP="00931E59"/>
    <w:tbl>
      <w:tblPr>
        <w:tblW w:w="894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320"/>
      </w:tblGrid>
      <w:tr w:rsidR="00931E59" w14:paraId="0050345F" w14:textId="77777777" w:rsidTr="00931E59">
        <w:trPr>
          <w:trHeight w:val="33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3105F" w14:textId="77777777" w:rsidR="00931E59" w:rsidRDefault="00931E59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  <w14:ligatures w14:val="none"/>
              </w:rPr>
              <w:t>Nombre cookie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F476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7C5E8" w14:textId="77777777" w:rsidR="00931E59" w:rsidRDefault="00931E59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  <w14:ligatures w14:val="none"/>
              </w:rPr>
              <w:t>Utilidad</w:t>
            </w:r>
          </w:p>
        </w:tc>
      </w:tr>
      <w:tr w:rsidR="00931E59" w14:paraId="160EA50F" w14:textId="77777777" w:rsidTr="00931E59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5CC59" w14:textId="77777777" w:rsidR="00931E59" w:rsidRDefault="00931E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  <w14:ligatures w14:val="none"/>
              </w:rPr>
              <w:t>mem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D2FC7" w14:textId="77777777" w:rsidR="00931E59" w:rsidRDefault="00931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  <w14:ligatures w14:val="none"/>
              </w:rPr>
              <w:t>Almacena el valor de la memoria de la calculadora que se puede usar para responder a las preguntas durante un examen</w:t>
            </w:r>
          </w:p>
        </w:tc>
      </w:tr>
      <w:tr w:rsidR="00931E59" w14:paraId="6F1280B3" w14:textId="77777777" w:rsidTr="00931E59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EFA07" w14:textId="77777777" w:rsidR="00931E59" w:rsidRDefault="00931E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  <w14:ligatures w14:val="none"/>
              </w:rPr>
              <w:t>impresora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AC69E" w14:textId="77777777" w:rsidR="00931E59" w:rsidRDefault="00931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  <w14:ligatures w14:val="none"/>
              </w:rPr>
              <w:t>Almacena el nombre de la impresora por la cual se imprimirá el resultado del examen y la hoja de comprobación al finalizar el mismo.</w:t>
            </w:r>
          </w:p>
        </w:tc>
      </w:tr>
    </w:tbl>
    <w:p w14:paraId="0BF35BAF" w14:textId="77777777" w:rsidR="00931E59" w:rsidRDefault="00931E59" w:rsidP="004820EA">
      <w:pPr>
        <w:rPr>
          <w:rFonts w:ascii="Times New Roman" w:hAnsi="Times New Roman" w:cs="Times New Roman"/>
          <w:sz w:val="24"/>
          <w:szCs w:val="24"/>
        </w:rPr>
      </w:pPr>
    </w:p>
    <w:p w14:paraId="5BC8F66B" w14:textId="77777777" w:rsidR="00931E59" w:rsidRPr="004820EA" w:rsidRDefault="00931E59" w:rsidP="004820EA">
      <w:pPr>
        <w:rPr>
          <w:rFonts w:ascii="Times New Roman" w:hAnsi="Times New Roman" w:cs="Times New Roman"/>
          <w:sz w:val="24"/>
          <w:szCs w:val="24"/>
        </w:rPr>
      </w:pPr>
    </w:p>
    <w:p w14:paraId="534070B6" w14:textId="77777777" w:rsidR="00E258F0" w:rsidRPr="00FB6286" w:rsidRDefault="00E258F0" w:rsidP="00FB6286">
      <w:pPr>
        <w:rPr>
          <w:rFonts w:ascii="Poppins" w:hAnsi="Poppins" w:cs="Poppins"/>
          <w:color w:val="303555"/>
          <w:shd w:val="clear" w:color="auto" w:fill="FFFFFF"/>
        </w:rPr>
      </w:pPr>
    </w:p>
    <w:sectPr w:rsidR="00E258F0" w:rsidRPr="00FB6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86A"/>
    <w:multiLevelType w:val="multilevel"/>
    <w:tmpl w:val="D05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F6C0D"/>
    <w:multiLevelType w:val="multilevel"/>
    <w:tmpl w:val="09D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A588F"/>
    <w:multiLevelType w:val="multilevel"/>
    <w:tmpl w:val="80A81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A6654"/>
    <w:multiLevelType w:val="multilevel"/>
    <w:tmpl w:val="D8E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60A2B"/>
    <w:multiLevelType w:val="multilevel"/>
    <w:tmpl w:val="6B8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94B77"/>
    <w:multiLevelType w:val="hybridMultilevel"/>
    <w:tmpl w:val="CC0219DC"/>
    <w:lvl w:ilvl="0" w:tplc="EAAA18B2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431"/>
    <w:multiLevelType w:val="multilevel"/>
    <w:tmpl w:val="8D40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30BA4"/>
    <w:multiLevelType w:val="multilevel"/>
    <w:tmpl w:val="76DC5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870E4"/>
    <w:multiLevelType w:val="multilevel"/>
    <w:tmpl w:val="74EAA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30D63"/>
    <w:multiLevelType w:val="hybridMultilevel"/>
    <w:tmpl w:val="1AD24D98"/>
    <w:lvl w:ilvl="0" w:tplc="429E1690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A577E"/>
    <w:multiLevelType w:val="multilevel"/>
    <w:tmpl w:val="6A1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E550A"/>
    <w:multiLevelType w:val="hybridMultilevel"/>
    <w:tmpl w:val="1AEAF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99D"/>
    <w:multiLevelType w:val="hybridMultilevel"/>
    <w:tmpl w:val="BCDCC8D2"/>
    <w:lvl w:ilvl="0" w:tplc="58669D1C">
      <w:start w:val="1"/>
      <w:numFmt w:val="bullet"/>
      <w:lvlText w:val="-"/>
      <w:lvlJc w:val="left"/>
      <w:pPr>
        <w:ind w:left="1080" w:hanging="360"/>
      </w:pPr>
      <w:rPr>
        <w:rFonts w:ascii="Poppins" w:eastAsiaTheme="minorHAnsi" w:hAnsi="Poppins" w:cs="Poppin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646264"/>
    <w:multiLevelType w:val="multilevel"/>
    <w:tmpl w:val="B61AA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43AD7"/>
    <w:multiLevelType w:val="hybridMultilevel"/>
    <w:tmpl w:val="0CE86AF4"/>
    <w:lvl w:ilvl="0" w:tplc="231EA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86"/>
    <w:rsid w:val="000A6C8E"/>
    <w:rsid w:val="000E6132"/>
    <w:rsid w:val="001D0841"/>
    <w:rsid w:val="001F6DCC"/>
    <w:rsid w:val="003878E8"/>
    <w:rsid w:val="00473FC8"/>
    <w:rsid w:val="004820EA"/>
    <w:rsid w:val="005267BC"/>
    <w:rsid w:val="00567D56"/>
    <w:rsid w:val="005C44BA"/>
    <w:rsid w:val="005E68CC"/>
    <w:rsid w:val="00603EEA"/>
    <w:rsid w:val="00667A69"/>
    <w:rsid w:val="00684015"/>
    <w:rsid w:val="006A020F"/>
    <w:rsid w:val="006D7183"/>
    <w:rsid w:val="0071478F"/>
    <w:rsid w:val="009112FF"/>
    <w:rsid w:val="00931E59"/>
    <w:rsid w:val="009D25D5"/>
    <w:rsid w:val="009E4327"/>
    <w:rsid w:val="00AD5BAC"/>
    <w:rsid w:val="00BD28EA"/>
    <w:rsid w:val="00BF0B31"/>
    <w:rsid w:val="00CF5A6F"/>
    <w:rsid w:val="00E258F0"/>
    <w:rsid w:val="00FA2BE6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7539"/>
  <w15:chartTrackingRefBased/>
  <w15:docId w15:val="{76E967B0-3438-464B-811F-C438D3B5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6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6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B6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6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6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6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6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6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6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6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B6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B62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62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62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62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62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62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6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6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62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62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62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6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62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62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FB628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B6286"/>
    <w:rPr>
      <w:color w:val="0000FF"/>
      <w:u w:val="single"/>
    </w:rPr>
  </w:style>
  <w:style w:type="paragraph" w:customStyle="1" w:styleId="text-align-center">
    <w:name w:val="text-align-center"/>
    <w:basedOn w:val="Normal"/>
    <w:rsid w:val="00F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F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CF5A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AB0F4.C64720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734</Words>
  <Characters>4040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Hidalgo, Alberto</dc:creator>
  <cp:keywords/>
  <dc:description/>
  <cp:lastModifiedBy>Moreno Polo, Félix Miguel</cp:lastModifiedBy>
  <cp:revision>2</cp:revision>
  <dcterms:created xsi:type="dcterms:W3CDTF">2024-06-07T11:28:00Z</dcterms:created>
  <dcterms:modified xsi:type="dcterms:W3CDTF">2024-06-07T11:28:00Z</dcterms:modified>
</cp:coreProperties>
</file>